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468"/>
        <w:gridCol w:w="5712"/>
      </w:tblGrid>
      <w:tr w:rsidR="00180E02" w:rsidRPr="005965CB" w:rsidTr="00D85272">
        <w:trPr>
          <w:trHeight w:val="1200"/>
        </w:trPr>
        <w:tc>
          <w:tcPr>
            <w:tcW w:w="3468" w:type="dxa"/>
          </w:tcPr>
          <w:p w:rsidR="00180E02" w:rsidRDefault="00180E02" w:rsidP="00D85272">
            <w:pPr>
              <w:overflowPunct w:val="0"/>
              <w:autoSpaceDE w:val="0"/>
              <w:autoSpaceDN w:val="0"/>
              <w:adjustRightInd w:val="0"/>
              <w:jc w:val="center"/>
              <w:textAlignment w:val="baseline"/>
              <w:rPr>
                <w:b/>
                <w:bCs/>
                <w:sz w:val="26"/>
                <w:szCs w:val="26"/>
                <w:lang w:val="nl-NL"/>
              </w:rPr>
            </w:pPr>
            <w:r>
              <w:rPr>
                <w:b/>
                <w:bCs/>
                <w:sz w:val="26"/>
                <w:szCs w:val="26"/>
                <w:lang w:val="nl-NL"/>
              </w:rPr>
              <w:t>HỘI ĐỒNG NHÂN DÂN</w:t>
            </w:r>
          </w:p>
          <w:p w:rsidR="00180E02" w:rsidRDefault="00180E02" w:rsidP="00D85272">
            <w:pPr>
              <w:overflowPunct w:val="0"/>
              <w:autoSpaceDE w:val="0"/>
              <w:autoSpaceDN w:val="0"/>
              <w:adjustRightInd w:val="0"/>
              <w:jc w:val="center"/>
              <w:textAlignment w:val="baseline"/>
              <w:rPr>
                <w:b/>
                <w:bCs/>
                <w:sz w:val="26"/>
                <w:szCs w:val="26"/>
                <w:lang w:val="nl-NL"/>
              </w:rPr>
            </w:pPr>
            <w:r w:rsidRPr="001861E7">
              <w:rPr>
                <w:b/>
                <w:bCs/>
                <w:sz w:val="26"/>
                <w:szCs w:val="26"/>
                <w:lang w:val="nl-NL"/>
              </w:rPr>
              <w:t>TỈNH HƯNG YÊN</w:t>
            </w:r>
          </w:p>
          <w:p w:rsidR="00180E02" w:rsidRPr="001B75E7" w:rsidRDefault="00180E02" w:rsidP="00D85272">
            <w:pPr>
              <w:overflowPunct w:val="0"/>
              <w:autoSpaceDE w:val="0"/>
              <w:autoSpaceDN w:val="0"/>
              <w:adjustRightInd w:val="0"/>
              <w:jc w:val="center"/>
              <w:textAlignment w:val="baseline"/>
              <w:rPr>
                <w:b/>
                <w:bCs/>
                <w:sz w:val="12"/>
                <w:szCs w:val="26"/>
                <w:lang w:val="nl-NL"/>
              </w:rPr>
            </w:pPr>
            <w:r>
              <w:rPr>
                <w:b/>
                <w:bCs/>
                <w:sz w:val="12"/>
                <w:szCs w:val="26"/>
                <w:lang w:val="nl-NL"/>
              </w:rPr>
              <w:t>_______________</w:t>
            </w:r>
          </w:p>
          <w:p w:rsidR="00180E02" w:rsidRPr="001B75E7" w:rsidRDefault="00180E02" w:rsidP="00D85272">
            <w:pPr>
              <w:overflowPunct w:val="0"/>
              <w:autoSpaceDE w:val="0"/>
              <w:autoSpaceDN w:val="0"/>
              <w:adjustRightInd w:val="0"/>
              <w:jc w:val="center"/>
              <w:textAlignment w:val="baseline"/>
              <w:rPr>
                <w:b/>
                <w:bCs/>
                <w:sz w:val="22"/>
                <w:szCs w:val="22"/>
                <w:lang w:val="nl-NL"/>
              </w:rPr>
            </w:pPr>
          </w:p>
          <w:p w:rsidR="00180E02" w:rsidRPr="001861E7" w:rsidRDefault="00180E02" w:rsidP="00D85272">
            <w:pPr>
              <w:overflowPunct w:val="0"/>
              <w:autoSpaceDE w:val="0"/>
              <w:autoSpaceDN w:val="0"/>
              <w:adjustRightInd w:val="0"/>
              <w:jc w:val="center"/>
              <w:textAlignment w:val="baseline"/>
              <w:rPr>
                <w:b/>
                <w:bCs/>
                <w:sz w:val="26"/>
                <w:szCs w:val="26"/>
                <w:lang w:val="nl-NL"/>
              </w:rPr>
            </w:pPr>
            <w:r w:rsidRPr="00183AB2">
              <w:rPr>
                <w:iCs/>
                <w:sz w:val="26"/>
                <w:szCs w:val="26"/>
                <w:lang w:val="nl-NL"/>
              </w:rPr>
              <w:t xml:space="preserve">Số: </w:t>
            </w:r>
            <w:r>
              <w:rPr>
                <w:iCs/>
                <w:sz w:val="26"/>
                <w:szCs w:val="26"/>
                <w:lang w:val="nl-NL"/>
              </w:rPr>
              <w:t>83</w:t>
            </w:r>
            <w:r w:rsidRPr="00183AB2">
              <w:rPr>
                <w:iCs/>
                <w:sz w:val="26"/>
                <w:szCs w:val="26"/>
                <w:lang w:val="nl-NL"/>
              </w:rPr>
              <w:t>/2016/NQ-HĐND</w:t>
            </w:r>
          </w:p>
        </w:tc>
        <w:tc>
          <w:tcPr>
            <w:tcW w:w="5712" w:type="dxa"/>
          </w:tcPr>
          <w:p w:rsidR="00180E02" w:rsidRDefault="00180E02" w:rsidP="00D85272">
            <w:pPr>
              <w:overflowPunct w:val="0"/>
              <w:autoSpaceDE w:val="0"/>
              <w:autoSpaceDN w:val="0"/>
              <w:adjustRightInd w:val="0"/>
              <w:jc w:val="center"/>
              <w:textAlignment w:val="baseline"/>
              <w:rPr>
                <w:b/>
                <w:bCs/>
                <w:noProof/>
                <w:sz w:val="26"/>
                <w:szCs w:val="26"/>
                <w:lang w:val="nl-NL"/>
              </w:rPr>
            </w:pPr>
            <w:r>
              <w:rPr>
                <w:b/>
                <w:bCs/>
                <w:noProof/>
                <w:sz w:val="26"/>
                <w:szCs w:val="26"/>
                <w:lang w:val="nl-NL"/>
              </w:rPr>
              <w:t>CỘNG HÒA XÃ HỘI CHỦ NGHĨA VIỆT NAM</w:t>
            </w:r>
          </w:p>
          <w:p w:rsidR="00180E02" w:rsidRDefault="00180E02" w:rsidP="00D85272">
            <w:pPr>
              <w:overflowPunct w:val="0"/>
              <w:autoSpaceDE w:val="0"/>
              <w:autoSpaceDN w:val="0"/>
              <w:adjustRightInd w:val="0"/>
              <w:jc w:val="center"/>
              <w:textAlignment w:val="baseline"/>
              <w:rPr>
                <w:b/>
                <w:bCs/>
                <w:noProof/>
                <w:sz w:val="26"/>
                <w:szCs w:val="26"/>
                <w:lang w:val="nl-NL"/>
              </w:rPr>
            </w:pPr>
            <w:r>
              <w:rPr>
                <w:b/>
                <w:bCs/>
                <w:noProof/>
                <w:sz w:val="26"/>
                <w:szCs w:val="26"/>
                <w:lang w:val="nl-NL"/>
              </w:rPr>
              <w:t>Độc lập - Tự do - Hạnh phúc</w:t>
            </w:r>
          </w:p>
          <w:p w:rsidR="00180E02" w:rsidRDefault="00180E02" w:rsidP="00D85272">
            <w:pPr>
              <w:overflowPunct w:val="0"/>
              <w:autoSpaceDE w:val="0"/>
              <w:autoSpaceDN w:val="0"/>
              <w:adjustRightInd w:val="0"/>
              <w:jc w:val="center"/>
              <w:textAlignment w:val="baseline"/>
              <w:rPr>
                <w:b/>
                <w:bCs/>
                <w:noProof/>
                <w:sz w:val="12"/>
                <w:szCs w:val="26"/>
                <w:lang w:val="nl-NL"/>
              </w:rPr>
            </w:pPr>
            <w:r>
              <w:rPr>
                <w:b/>
                <w:bCs/>
                <w:noProof/>
                <w:sz w:val="12"/>
                <w:szCs w:val="26"/>
                <w:lang w:val="nl-NL"/>
              </w:rPr>
              <w:t>______________________________________________________</w:t>
            </w:r>
          </w:p>
          <w:p w:rsidR="00180E02" w:rsidRPr="001B75E7" w:rsidRDefault="00180E02" w:rsidP="00D85272">
            <w:pPr>
              <w:overflowPunct w:val="0"/>
              <w:autoSpaceDE w:val="0"/>
              <w:autoSpaceDN w:val="0"/>
              <w:adjustRightInd w:val="0"/>
              <w:jc w:val="center"/>
              <w:textAlignment w:val="baseline"/>
              <w:rPr>
                <w:sz w:val="22"/>
                <w:szCs w:val="22"/>
                <w:lang w:val="nl-NL"/>
              </w:rPr>
            </w:pPr>
          </w:p>
          <w:p w:rsidR="00180E02" w:rsidRPr="005965CB" w:rsidRDefault="00180E02" w:rsidP="00D85272">
            <w:pPr>
              <w:overflowPunct w:val="0"/>
              <w:autoSpaceDE w:val="0"/>
              <w:autoSpaceDN w:val="0"/>
              <w:adjustRightInd w:val="0"/>
              <w:jc w:val="center"/>
              <w:textAlignment w:val="baseline"/>
              <w:rPr>
                <w:lang w:val="nl-NL"/>
              </w:rPr>
            </w:pPr>
            <w:r w:rsidRPr="005965CB">
              <w:rPr>
                <w:i/>
                <w:iCs/>
                <w:lang w:val="nl-NL"/>
              </w:rPr>
              <w:t>Hưng Yên, ngày 15 tháng 12 năm 2016</w:t>
            </w:r>
          </w:p>
        </w:tc>
      </w:tr>
    </w:tbl>
    <w:p w:rsidR="00180E02" w:rsidRDefault="00180E02" w:rsidP="00180E02">
      <w:pPr>
        <w:jc w:val="center"/>
        <w:rPr>
          <w:b/>
          <w:lang w:val="nl-NL"/>
        </w:rPr>
      </w:pPr>
    </w:p>
    <w:p w:rsidR="00180E02" w:rsidRDefault="00180E02" w:rsidP="00180E02">
      <w:pPr>
        <w:jc w:val="center"/>
        <w:rPr>
          <w:b/>
          <w:lang w:val="nl-NL"/>
        </w:rPr>
      </w:pPr>
      <w:bookmarkStart w:id="0" w:name="_GoBack"/>
      <w:bookmarkEnd w:id="0"/>
    </w:p>
    <w:p w:rsidR="00180E02" w:rsidRPr="008B6208" w:rsidRDefault="00180E02" w:rsidP="00180E02">
      <w:pPr>
        <w:jc w:val="center"/>
        <w:rPr>
          <w:b/>
          <w:lang w:val="nl-NL"/>
        </w:rPr>
      </w:pPr>
      <w:r w:rsidRPr="008B6208">
        <w:rPr>
          <w:b/>
          <w:lang w:val="nl-NL"/>
        </w:rPr>
        <w:t>NGHỊ QUYẾT</w:t>
      </w:r>
    </w:p>
    <w:p w:rsidR="00180E02" w:rsidRDefault="00180E02" w:rsidP="00180E02">
      <w:pPr>
        <w:jc w:val="center"/>
        <w:rPr>
          <w:b/>
          <w:lang w:val="nl-NL"/>
        </w:rPr>
      </w:pPr>
      <w:r>
        <w:rPr>
          <w:b/>
          <w:lang w:val="nl-NL"/>
        </w:rPr>
        <w:t>Về việc</w:t>
      </w:r>
      <w:r w:rsidRPr="008B6208">
        <w:rPr>
          <w:b/>
          <w:lang w:val="nl-NL"/>
        </w:rPr>
        <w:t xml:space="preserve"> ph</w:t>
      </w:r>
      <w:r w:rsidRPr="008B6208">
        <w:rPr>
          <w:rFonts w:hint="eastAsia"/>
          <w:b/>
          <w:lang w:val="nl-NL"/>
        </w:rPr>
        <w:t>ê</w:t>
      </w:r>
      <w:r w:rsidRPr="008B6208">
        <w:rPr>
          <w:b/>
          <w:lang w:val="nl-NL"/>
        </w:rPr>
        <w:t xml:space="preserve"> chuẩn tổng quyết to</w:t>
      </w:r>
      <w:r w:rsidRPr="008B6208">
        <w:rPr>
          <w:rFonts w:hint="eastAsia"/>
          <w:b/>
          <w:lang w:val="nl-NL"/>
        </w:rPr>
        <w:t>á</w:t>
      </w:r>
      <w:r w:rsidRPr="008B6208">
        <w:rPr>
          <w:b/>
          <w:lang w:val="nl-NL"/>
        </w:rPr>
        <w:t>n ng</w:t>
      </w:r>
      <w:r w:rsidRPr="008B6208">
        <w:rPr>
          <w:rFonts w:hint="eastAsia"/>
          <w:b/>
          <w:lang w:val="nl-NL"/>
        </w:rPr>
        <w:t>â</w:t>
      </w:r>
      <w:r w:rsidRPr="008B6208">
        <w:rPr>
          <w:b/>
          <w:lang w:val="nl-NL"/>
        </w:rPr>
        <w:t>n s</w:t>
      </w:r>
      <w:r w:rsidRPr="008B6208">
        <w:rPr>
          <w:rFonts w:hint="eastAsia"/>
          <w:b/>
          <w:lang w:val="nl-NL"/>
        </w:rPr>
        <w:t>á</w:t>
      </w:r>
      <w:r w:rsidRPr="008B6208">
        <w:rPr>
          <w:b/>
          <w:lang w:val="nl-NL"/>
        </w:rPr>
        <w:t>ch nh</w:t>
      </w:r>
      <w:r w:rsidRPr="008B6208">
        <w:rPr>
          <w:rFonts w:hint="eastAsia"/>
          <w:b/>
          <w:lang w:val="nl-NL"/>
        </w:rPr>
        <w:t>à</w:t>
      </w:r>
      <w:r w:rsidRPr="008B6208">
        <w:rPr>
          <w:b/>
          <w:lang w:val="nl-NL"/>
        </w:rPr>
        <w:t xml:space="preserve"> n</w:t>
      </w:r>
      <w:r w:rsidRPr="008B6208">
        <w:rPr>
          <w:rFonts w:hint="eastAsia"/>
          <w:b/>
          <w:lang w:val="nl-NL"/>
        </w:rPr>
        <w:t>ư</w:t>
      </w:r>
      <w:r w:rsidRPr="008B6208">
        <w:rPr>
          <w:b/>
          <w:lang w:val="nl-NL"/>
        </w:rPr>
        <w:t>ớc n</w:t>
      </w:r>
      <w:r w:rsidRPr="008B6208">
        <w:rPr>
          <w:rFonts w:hint="eastAsia"/>
          <w:b/>
          <w:lang w:val="nl-NL"/>
        </w:rPr>
        <w:t>ă</w:t>
      </w:r>
      <w:r w:rsidRPr="008B6208">
        <w:rPr>
          <w:b/>
          <w:lang w:val="nl-NL"/>
        </w:rPr>
        <w:t>m 2015</w:t>
      </w:r>
    </w:p>
    <w:p w:rsidR="00180E02" w:rsidRPr="000E61AE" w:rsidRDefault="00180E02" w:rsidP="00180E02">
      <w:pPr>
        <w:jc w:val="center"/>
        <w:rPr>
          <w:b/>
          <w:sz w:val="12"/>
          <w:lang w:val="nl-NL"/>
        </w:rPr>
      </w:pPr>
      <w:r w:rsidRPr="000E61AE">
        <w:rPr>
          <w:b/>
          <w:sz w:val="12"/>
          <w:lang w:val="nl-NL"/>
        </w:rPr>
        <w:t>_________________________</w:t>
      </w:r>
    </w:p>
    <w:p w:rsidR="00180E02" w:rsidRDefault="00180E02" w:rsidP="00180E02">
      <w:pPr>
        <w:spacing w:before="480"/>
        <w:jc w:val="center"/>
        <w:rPr>
          <w:b/>
          <w:lang w:val="nl-NL"/>
        </w:rPr>
      </w:pPr>
      <w:r>
        <w:rPr>
          <w:b/>
          <w:lang w:val="nl-NL"/>
        </w:rPr>
        <w:t>HỘI ĐỒNG NHÂN DÂN TỈNH HƯNG YÊN</w:t>
      </w:r>
    </w:p>
    <w:p w:rsidR="00180E02" w:rsidRPr="008B6208" w:rsidRDefault="00180E02" w:rsidP="00180E02">
      <w:pPr>
        <w:jc w:val="center"/>
        <w:rPr>
          <w:color w:val="FF0000"/>
          <w:lang w:val="nl-NL"/>
        </w:rPr>
      </w:pPr>
      <w:r>
        <w:rPr>
          <w:b/>
          <w:lang w:val="nl-NL"/>
        </w:rPr>
        <w:t>KHÓA XVI, KỲ HỌP THỨ BA</w:t>
      </w:r>
      <w:r w:rsidRPr="008B6208">
        <w:rPr>
          <w:color w:val="FF0000"/>
          <w:lang w:val="nl-NL"/>
        </w:rPr>
        <w:t xml:space="preserve"> </w:t>
      </w:r>
    </w:p>
    <w:p w:rsidR="00180E02" w:rsidRPr="009B6628" w:rsidRDefault="00180E02" w:rsidP="00180E02">
      <w:pPr>
        <w:spacing w:before="120" w:after="120"/>
        <w:jc w:val="both"/>
        <w:rPr>
          <w:i/>
          <w:lang w:val="nl-NL"/>
        </w:rPr>
      </w:pPr>
      <w:r w:rsidRPr="008B6208">
        <w:rPr>
          <w:lang w:val="nl-NL"/>
        </w:rPr>
        <w:tab/>
      </w:r>
      <w:r w:rsidRPr="009B6628">
        <w:rPr>
          <w:i/>
          <w:iCs/>
          <w:color w:val="000000"/>
          <w:shd w:val="clear" w:color="auto" w:fill="FFFFFF"/>
          <w:lang w:val="nl-NL"/>
        </w:rPr>
        <w:t>Căn cứ Luật Tổ chức chính quyền địa phương năm 2015;</w:t>
      </w:r>
    </w:p>
    <w:p w:rsidR="00180E02" w:rsidRPr="009B6628" w:rsidRDefault="00180E02" w:rsidP="00180E02">
      <w:pPr>
        <w:spacing w:before="120" w:after="120"/>
        <w:jc w:val="both"/>
        <w:rPr>
          <w:i/>
          <w:lang w:val="nl-NL"/>
        </w:rPr>
      </w:pPr>
      <w:r w:rsidRPr="009B6628">
        <w:rPr>
          <w:i/>
          <w:lang w:val="nl-NL"/>
        </w:rPr>
        <w:tab/>
        <w:t>Căn cứ Luật Ng</w:t>
      </w:r>
      <w:r w:rsidRPr="009B6628">
        <w:rPr>
          <w:rFonts w:hint="eastAsia"/>
          <w:i/>
          <w:lang w:val="nl-NL"/>
        </w:rPr>
        <w:t>â</w:t>
      </w:r>
      <w:r w:rsidRPr="009B6628">
        <w:rPr>
          <w:i/>
          <w:lang w:val="nl-NL"/>
        </w:rPr>
        <w:t>n s</w:t>
      </w:r>
      <w:r w:rsidRPr="009B6628">
        <w:rPr>
          <w:rFonts w:hint="eastAsia"/>
          <w:i/>
          <w:lang w:val="nl-NL"/>
        </w:rPr>
        <w:t>á</w:t>
      </w:r>
      <w:r w:rsidRPr="009B6628">
        <w:rPr>
          <w:i/>
          <w:lang w:val="nl-NL"/>
        </w:rPr>
        <w:t>ch nh</w:t>
      </w:r>
      <w:r w:rsidRPr="009B6628">
        <w:rPr>
          <w:rFonts w:hint="eastAsia"/>
          <w:i/>
          <w:lang w:val="nl-NL"/>
        </w:rPr>
        <w:t>à</w:t>
      </w:r>
      <w:r w:rsidRPr="009B6628">
        <w:rPr>
          <w:i/>
          <w:lang w:val="nl-NL"/>
        </w:rPr>
        <w:t xml:space="preserve"> n</w:t>
      </w:r>
      <w:r w:rsidRPr="009B6628">
        <w:rPr>
          <w:rFonts w:hint="eastAsia"/>
          <w:i/>
          <w:lang w:val="nl-NL"/>
        </w:rPr>
        <w:t>ư</w:t>
      </w:r>
      <w:r w:rsidRPr="009B6628">
        <w:rPr>
          <w:i/>
          <w:lang w:val="nl-NL"/>
        </w:rPr>
        <w:t>ớc năm 2015;</w:t>
      </w:r>
    </w:p>
    <w:p w:rsidR="00180E02" w:rsidRPr="009B6628" w:rsidRDefault="00180E02" w:rsidP="00180E02">
      <w:pPr>
        <w:spacing w:before="120" w:after="120"/>
        <w:jc w:val="both"/>
        <w:rPr>
          <w:i/>
        </w:rPr>
      </w:pPr>
      <w:r w:rsidRPr="009B6628">
        <w:rPr>
          <w:i/>
          <w:lang w:val="nl-NL"/>
        </w:rPr>
        <w:tab/>
      </w:r>
      <w:r w:rsidRPr="009B6628">
        <w:rPr>
          <w:i/>
        </w:rPr>
        <w:t>Sau khi xem x</w:t>
      </w:r>
      <w:r w:rsidRPr="009B6628">
        <w:rPr>
          <w:rFonts w:hint="eastAsia"/>
          <w:i/>
        </w:rPr>
        <w:t>é</w:t>
      </w:r>
      <w:r w:rsidRPr="009B6628">
        <w:rPr>
          <w:i/>
        </w:rPr>
        <w:t>t Báo cáo số 294/TTr-UBND ng</w:t>
      </w:r>
      <w:r w:rsidRPr="009B6628">
        <w:rPr>
          <w:rFonts w:hint="eastAsia"/>
          <w:i/>
        </w:rPr>
        <w:t>à</w:t>
      </w:r>
      <w:r w:rsidRPr="009B6628">
        <w:rPr>
          <w:i/>
        </w:rPr>
        <w:t>y 05/12/2016 của Ủy ban nh</w:t>
      </w:r>
      <w:r w:rsidRPr="009B6628">
        <w:rPr>
          <w:rFonts w:hint="eastAsia"/>
          <w:i/>
        </w:rPr>
        <w:t>â</w:t>
      </w:r>
      <w:r w:rsidRPr="009B6628">
        <w:rPr>
          <w:i/>
        </w:rPr>
        <w:t>n d</w:t>
      </w:r>
      <w:r w:rsidRPr="009B6628">
        <w:rPr>
          <w:rFonts w:hint="eastAsia"/>
          <w:i/>
        </w:rPr>
        <w:t>â</w:t>
      </w:r>
      <w:r w:rsidRPr="009B6628">
        <w:rPr>
          <w:i/>
        </w:rPr>
        <w:t>n tỉnh về việc ph</w:t>
      </w:r>
      <w:r w:rsidRPr="009B6628">
        <w:rPr>
          <w:rFonts w:hint="eastAsia"/>
          <w:i/>
        </w:rPr>
        <w:t>ê</w:t>
      </w:r>
      <w:r w:rsidRPr="009B6628">
        <w:rPr>
          <w:i/>
        </w:rPr>
        <w:t xml:space="preserve"> chuẩn Tổng quyết to</w:t>
      </w:r>
      <w:r w:rsidRPr="009B6628">
        <w:rPr>
          <w:rFonts w:hint="eastAsia"/>
          <w:i/>
        </w:rPr>
        <w:t>á</w:t>
      </w:r>
      <w:r w:rsidRPr="009B6628">
        <w:rPr>
          <w:i/>
        </w:rPr>
        <w:t>n ng</w:t>
      </w:r>
      <w:r w:rsidRPr="009B6628">
        <w:rPr>
          <w:rFonts w:hint="eastAsia"/>
          <w:i/>
        </w:rPr>
        <w:t>â</w:t>
      </w:r>
      <w:r w:rsidRPr="009B6628">
        <w:rPr>
          <w:i/>
        </w:rPr>
        <w:t>n s</w:t>
      </w:r>
      <w:r w:rsidRPr="009B6628">
        <w:rPr>
          <w:rFonts w:hint="eastAsia"/>
          <w:i/>
        </w:rPr>
        <w:t>á</w:t>
      </w:r>
      <w:r w:rsidRPr="009B6628">
        <w:rPr>
          <w:i/>
        </w:rPr>
        <w:t>ch nh</w:t>
      </w:r>
      <w:r w:rsidRPr="009B6628">
        <w:rPr>
          <w:rFonts w:hint="eastAsia"/>
          <w:i/>
        </w:rPr>
        <w:t>à</w:t>
      </w:r>
      <w:r w:rsidRPr="009B6628">
        <w:rPr>
          <w:i/>
        </w:rPr>
        <w:t xml:space="preserve"> n</w:t>
      </w:r>
      <w:r w:rsidRPr="009B6628">
        <w:rPr>
          <w:rFonts w:hint="eastAsia"/>
          <w:i/>
        </w:rPr>
        <w:t>ư</w:t>
      </w:r>
      <w:r w:rsidRPr="009B6628">
        <w:rPr>
          <w:i/>
        </w:rPr>
        <w:t>ớc n</w:t>
      </w:r>
      <w:r w:rsidRPr="009B6628">
        <w:rPr>
          <w:rFonts w:hint="eastAsia"/>
          <w:i/>
        </w:rPr>
        <w:t>ă</w:t>
      </w:r>
      <w:r w:rsidRPr="009B6628">
        <w:rPr>
          <w:i/>
        </w:rPr>
        <w:t>m 2015; B</w:t>
      </w:r>
      <w:r w:rsidRPr="009B6628">
        <w:rPr>
          <w:rFonts w:hint="eastAsia"/>
          <w:i/>
        </w:rPr>
        <w:t>á</w:t>
      </w:r>
      <w:r w:rsidRPr="009B6628">
        <w:rPr>
          <w:i/>
        </w:rPr>
        <w:t>o c</w:t>
      </w:r>
      <w:r w:rsidRPr="009B6628">
        <w:rPr>
          <w:rFonts w:hint="eastAsia"/>
          <w:i/>
        </w:rPr>
        <w:t>á</w:t>
      </w:r>
      <w:r w:rsidRPr="009B6628">
        <w:rPr>
          <w:i/>
        </w:rPr>
        <w:t>o thẩm tra của Ban Kinh tế - Ng</w:t>
      </w:r>
      <w:r w:rsidRPr="009B6628">
        <w:rPr>
          <w:rFonts w:hint="eastAsia"/>
          <w:i/>
        </w:rPr>
        <w:t>â</w:t>
      </w:r>
      <w:r w:rsidRPr="009B6628">
        <w:rPr>
          <w:i/>
        </w:rPr>
        <w:t>n s</w:t>
      </w:r>
      <w:r w:rsidRPr="009B6628">
        <w:rPr>
          <w:rFonts w:hint="eastAsia"/>
          <w:i/>
        </w:rPr>
        <w:t>á</w:t>
      </w:r>
      <w:r w:rsidRPr="009B6628">
        <w:rPr>
          <w:i/>
        </w:rPr>
        <w:t>ch v</w:t>
      </w:r>
      <w:r w:rsidRPr="009B6628">
        <w:rPr>
          <w:rFonts w:hint="eastAsia"/>
          <w:i/>
        </w:rPr>
        <w:t>à</w:t>
      </w:r>
      <w:r w:rsidRPr="009B6628">
        <w:rPr>
          <w:i/>
        </w:rPr>
        <w:t xml:space="preserve"> </w:t>
      </w:r>
      <w:r w:rsidRPr="009B6628">
        <w:rPr>
          <w:rFonts w:hint="eastAsia"/>
          <w:i/>
        </w:rPr>
        <w:t>ý</w:t>
      </w:r>
      <w:r w:rsidRPr="009B6628">
        <w:rPr>
          <w:i/>
        </w:rPr>
        <w:t xml:space="preserve"> kiến của c</w:t>
      </w:r>
      <w:r w:rsidRPr="009B6628">
        <w:rPr>
          <w:rFonts w:hint="eastAsia"/>
          <w:i/>
        </w:rPr>
        <w:t>á</w:t>
      </w:r>
      <w:r w:rsidRPr="009B6628">
        <w:rPr>
          <w:i/>
        </w:rPr>
        <w:t xml:space="preserve">c vị </w:t>
      </w:r>
      <w:r w:rsidRPr="009B6628">
        <w:rPr>
          <w:rFonts w:hint="eastAsia"/>
          <w:i/>
        </w:rPr>
        <w:t>đ</w:t>
      </w:r>
      <w:r w:rsidRPr="009B6628">
        <w:rPr>
          <w:i/>
        </w:rPr>
        <w:t>ại biểu H</w:t>
      </w:r>
      <w:r w:rsidRPr="009B6628">
        <w:rPr>
          <w:rFonts w:hint="eastAsia"/>
          <w:i/>
        </w:rPr>
        <w:t>Đ</w:t>
      </w:r>
      <w:r w:rsidRPr="009B6628">
        <w:rPr>
          <w:i/>
        </w:rPr>
        <w:t>ND tỉnh</w:t>
      </w:r>
      <w:r>
        <w:rPr>
          <w:i/>
        </w:rPr>
        <w:t>.</w:t>
      </w:r>
    </w:p>
    <w:p w:rsidR="00180E02" w:rsidRPr="00EA5007" w:rsidRDefault="00180E02" w:rsidP="00180E02">
      <w:pPr>
        <w:spacing w:before="120" w:after="120"/>
        <w:jc w:val="center"/>
        <w:rPr>
          <w:b/>
          <w:lang w:val="nl-NL"/>
        </w:rPr>
      </w:pPr>
      <w:r w:rsidRPr="00EA5007">
        <w:rPr>
          <w:b/>
          <w:lang w:val="nl-NL"/>
        </w:rPr>
        <w:t>QUYẾT NGHỊ</w:t>
      </w:r>
      <w:r>
        <w:rPr>
          <w:b/>
          <w:lang w:val="nl-NL"/>
        </w:rPr>
        <w:t>:</w:t>
      </w:r>
    </w:p>
    <w:p w:rsidR="00180E02" w:rsidRDefault="00180E02" w:rsidP="00180E02">
      <w:pPr>
        <w:spacing w:before="120" w:after="120"/>
        <w:jc w:val="both"/>
      </w:pPr>
      <w:r>
        <w:tab/>
      </w:r>
      <w:r w:rsidRPr="00C214F7">
        <w:rPr>
          <w:rFonts w:hint="eastAsia"/>
          <w:b/>
        </w:rPr>
        <w:t>Đ</w:t>
      </w:r>
      <w:r w:rsidRPr="00C214F7">
        <w:rPr>
          <w:b/>
        </w:rPr>
        <w:t>iều 1</w:t>
      </w:r>
      <w:r>
        <w:rPr>
          <w:b/>
        </w:rPr>
        <w:t>.</w:t>
      </w:r>
      <w:r>
        <w:t xml:space="preserve"> Ph</w:t>
      </w:r>
      <w:r w:rsidRPr="009D54D9">
        <w:rPr>
          <w:rFonts w:hint="eastAsia"/>
        </w:rPr>
        <w:t>ê</w:t>
      </w:r>
      <w:r>
        <w:t xml:space="preserve"> chu</w:t>
      </w:r>
      <w:r w:rsidRPr="009D54D9">
        <w:t>ẩn</w:t>
      </w:r>
      <w:r>
        <w:t xml:space="preserve"> t</w:t>
      </w:r>
      <w:r w:rsidRPr="009D54D9">
        <w:t>ổng</w:t>
      </w:r>
      <w:r>
        <w:t xml:space="preserve"> quy</w:t>
      </w:r>
      <w:r w:rsidRPr="009D54D9">
        <w:t>ết</w:t>
      </w:r>
      <w:r>
        <w:t xml:space="preserve"> to</w:t>
      </w:r>
      <w:r w:rsidRPr="009D54D9">
        <w:rPr>
          <w:rFonts w:hint="eastAsia"/>
        </w:rPr>
        <w:t>á</w:t>
      </w:r>
      <w:r w:rsidRPr="009D54D9">
        <w:t>n</w:t>
      </w:r>
      <w:r>
        <w:t xml:space="preserve"> thu, chi ng</w:t>
      </w:r>
      <w:r w:rsidRPr="009D54D9">
        <w:rPr>
          <w:rFonts w:hint="eastAsia"/>
        </w:rPr>
        <w:t>â</w:t>
      </w:r>
      <w:r>
        <w:t>n s</w:t>
      </w:r>
      <w:r w:rsidRPr="009D54D9">
        <w:rPr>
          <w:rFonts w:hint="eastAsia"/>
        </w:rPr>
        <w:t>á</w:t>
      </w:r>
      <w:r w:rsidRPr="009D54D9">
        <w:t>ch</w:t>
      </w:r>
      <w:r>
        <w:t xml:space="preserve"> nh</w:t>
      </w:r>
      <w:r w:rsidRPr="009D54D9">
        <w:rPr>
          <w:rFonts w:hint="eastAsia"/>
        </w:rPr>
        <w:t>à</w:t>
      </w:r>
      <w:r>
        <w:t xml:space="preserve"> n</w:t>
      </w:r>
      <w:r w:rsidRPr="009D54D9">
        <w:rPr>
          <w:rFonts w:hint="eastAsia"/>
        </w:rPr>
        <w:t>ư</w:t>
      </w:r>
      <w:r w:rsidRPr="009D54D9">
        <w:t>ớc</w:t>
      </w:r>
      <w:r>
        <w:t xml:space="preserve"> </w:t>
      </w:r>
      <w:r w:rsidRPr="009D54D9">
        <w:t>ở</w:t>
      </w:r>
      <w:r>
        <w:t xml:space="preserve"> </w:t>
      </w:r>
      <w:r w:rsidRPr="009D54D9">
        <w:rPr>
          <w:rFonts w:hint="eastAsia"/>
        </w:rPr>
        <w:t>đ</w:t>
      </w:r>
      <w:r w:rsidRPr="009D54D9">
        <w:t>ịa</w:t>
      </w:r>
      <w:r>
        <w:t xml:space="preserve"> ph</w:t>
      </w:r>
      <w:r w:rsidRPr="009D54D9">
        <w:rPr>
          <w:rFonts w:hint="eastAsia"/>
        </w:rPr>
        <w:t>ươ</w:t>
      </w:r>
      <w:r>
        <w:t>ng n</w:t>
      </w:r>
      <w:r w:rsidRPr="009D54D9">
        <w:rPr>
          <w:rFonts w:hint="eastAsia"/>
        </w:rPr>
        <w:t>ă</w:t>
      </w:r>
      <w:r>
        <w:t>m 2015, bao g</w:t>
      </w:r>
      <w:r w:rsidRPr="009D54D9">
        <w:t>ồm</w:t>
      </w:r>
      <w:r>
        <w:t>:</w:t>
      </w:r>
    </w:p>
    <w:p w:rsidR="00180E02" w:rsidRPr="005E421E" w:rsidRDefault="00180E02" w:rsidP="00180E02">
      <w:pPr>
        <w:pStyle w:val="BodyText"/>
        <w:spacing w:before="120" w:after="120"/>
        <w:ind w:firstLine="720"/>
        <w:rPr>
          <w:rFonts w:ascii="Times New Roman" w:hAnsi="Times New Roman"/>
          <w:b/>
          <w:bCs/>
          <w:szCs w:val="28"/>
          <w:lang w:val="nl-NL"/>
        </w:rPr>
      </w:pPr>
      <w:r w:rsidRPr="005E421E">
        <w:rPr>
          <w:rFonts w:ascii="Times New Roman" w:hAnsi="Times New Roman"/>
          <w:b/>
          <w:szCs w:val="28"/>
          <w:lang w:val="nl-NL"/>
        </w:rPr>
        <w:t xml:space="preserve">I. Tổng thu ngân sách địa phương: </w:t>
      </w:r>
      <w:r w:rsidRPr="005E421E">
        <w:rPr>
          <w:rFonts w:ascii="Times New Roman" w:hAnsi="Times New Roman"/>
          <w:b/>
          <w:bCs/>
          <w:szCs w:val="28"/>
          <w:lang w:val="nl-NL"/>
        </w:rPr>
        <w:t>12.223.965.616.025 đồng</w:t>
      </w:r>
    </w:p>
    <w:p w:rsidR="00180E02" w:rsidRPr="00512781" w:rsidRDefault="00180E02" w:rsidP="00180E02">
      <w:pPr>
        <w:spacing w:before="120" w:after="120"/>
        <w:ind w:firstLine="720"/>
        <w:rPr>
          <w:lang w:val="nl-NL"/>
        </w:rPr>
      </w:pPr>
      <w:r>
        <w:rPr>
          <w:lang w:val="nl-NL"/>
        </w:rPr>
        <w:t>1.</w:t>
      </w:r>
      <w:r w:rsidRPr="00512781">
        <w:rPr>
          <w:lang w:val="nl-NL"/>
        </w:rPr>
        <w:t xml:space="preserve"> Ngân sách tỉnh:</w:t>
      </w:r>
      <w:r>
        <w:rPr>
          <w:lang w:val="nl-NL"/>
        </w:rPr>
        <w:t xml:space="preserve"> </w:t>
      </w:r>
      <w:r w:rsidRPr="00512781">
        <w:rPr>
          <w:lang w:val="nl-NL"/>
        </w:rPr>
        <w:t>7.178.077.216.589 đồng</w:t>
      </w:r>
    </w:p>
    <w:p w:rsidR="00180E02" w:rsidRPr="00512781" w:rsidRDefault="00180E02" w:rsidP="00180E02">
      <w:pPr>
        <w:spacing w:before="120" w:after="120"/>
        <w:ind w:firstLine="720"/>
        <w:rPr>
          <w:lang w:val="nl-NL"/>
        </w:rPr>
      </w:pPr>
      <w:r>
        <w:rPr>
          <w:lang w:val="nl-NL"/>
        </w:rPr>
        <w:t>2.</w:t>
      </w:r>
      <w:r w:rsidRPr="00512781">
        <w:rPr>
          <w:lang w:val="nl-NL"/>
        </w:rPr>
        <w:t xml:space="preserve"> Ngân sách huyện:</w:t>
      </w:r>
      <w:r>
        <w:rPr>
          <w:lang w:val="nl-NL"/>
        </w:rPr>
        <w:t xml:space="preserve"> </w:t>
      </w:r>
      <w:r w:rsidRPr="00512781">
        <w:rPr>
          <w:lang w:val="nl-NL"/>
        </w:rPr>
        <w:t>3.753.043.974.872 đồng</w:t>
      </w:r>
    </w:p>
    <w:p w:rsidR="00180E02" w:rsidRPr="00512781" w:rsidRDefault="00180E02" w:rsidP="00180E02">
      <w:pPr>
        <w:spacing w:before="120" w:after="120"/>
        <w:ind w:firstLine="720"/>
        <w:rPr>
          <w:lang w:val="nl-NL"/>
        </w:rPr>
      </w:pPr>
      <w:r>
        <w:rPr>
          <w:lang w:val="nl-NL"/>
        </w:rPr>
        <w:t>3.</w:t>
      </w:r>
      <w:r w:rsidRPr="00512781">
        <w:rPr>
          <w:lang w:val="nl-NL"/>
        </w:rPr>
        <w:t xml:space="preserve"> Ngân sách xã:</w:t>
      </w:r>
      <w:r>
        <w:rPr>
          <w:lang w:val="nl-NL"/>
        </w:rPr>
        <w:t xml:space="preserve"> </w:t>
      </w:r>
      <w:r w:rsidRPr="00512781">
        <w:rPr>
          <w:lang w:val="nl-NL"/>
        </w:rPr>
        <w:t>1.292.844.424.564 đồng</w:t>
      </w:r>
    </w:p>
    <w:p w:rsidR="00180E02" w:rsidRPr="005E421E" w:rsidRDefault="00180E02" w:rsidP="00180E02">
      <w:pPr>
        <w:pStyle w:val="BodyText"/>
        <w:spacing w:before="120" w:after="120"/>
        <w:ind w:firstLine="720"/>
        <w:rPr>
          <w:rFonts w:ascii="Times New Roman" w:hAnsi="Times New Roman"/>
          <w:b/>
          <w:szCs w:val="28"/>
          <w:lang w:val="nl-NL"/>
        </w:rPr>
      </w:pPr>
      <w:r w:rsidRPr="005E421E">
        <w:rPr>
          <w:rFonts w:ascii="Times New Roman" w:hAnsi="Times New Roman"/>
          <w:b/>
          <w:szCs w:val="28"/>
          <w:lang w:val="nl-NL"/>
        </w:rPr>
        <w:t xml:space="preserve">II. Tổng chi </w:t>
      </w:r>
      <w:r>
        <w:rPr>
          <w:rFonts w:ascii="Times New Roman" w:hAnsi="Times New Roman"/>
          <w:b/>
          <w:szCs w:val="28"/>
          <w:lang w:val="nl-NL"/>
        </w:rPr>
        <w:t>ngân sách địa phương</w:t>
      </w:r>
      <w:r w:rsidRPr="005E421E">
        <w:rPr>
          <w:rFonts w:ascii="Times New Roman" w:hAnsi="Times New Roman"/>
          <w:b/>
          <w:szCs w:val="28"/>
          <w:lang w:val="nl-NL"/>
        </w:rPr>
        <w:t>: 11.961.827.175.799 đồng</w:t>
      </w:r>
    </w:p>
    <w:p w:rsidR="00180E02" w:rsidRPr="00EC5A99" w:rsidRDefault="00180E02" w:rsidP="00180E02">
      <w:pPr>
        <w:spacing w:before="120" w:after="120"/>
        <w:ind w:firstLine="720"/>
        <w:rPr>
          <w:lang w:val="nl-NL"/>
        </w:rPr>
      </w:pPr>
      <w:r>
        <w:rPr>
          <w:lang w:val="nl-NL"/>
        </w:rPr>
        <w:t>1.</w:t>
      </w:r>
      <w:r w:rsidRPr="00EC5A99">
        <w:rPr>
          <w:lang w:val="nl-NL"/>
        </w:rPr>
        <w:t xml:space="preserve"> Ngân sách tỉnh:</w:t>
      </w:r>
      <w:r>
        <w:rPr>
          <w:lang w:val="nl-NL"/>
        </w:rPr>
        <w:t xml:space="preserve"> </w:t>
      </w:r>
      <w:r w:rsidRPr="00EC5A99">
        <w:rPr>
          <w:lang w:val="nl-NL"/>
        </w:rPr>
        <w:t>7.121.048.125.035 đồng</w:t>
      </w:r>
    </w:p>
    <w:p w:rsidR="00180E02" w:rsidRPr="00EC5A99" w:rsidRDefault="00180E02" w:rsidP="00180E02">
      <w:pPr>
        <w:spacing w:before="120" w:after="120"/>
        <w:ind w:firstLine="720"/>
        <w:rPr>
          <w:lang w:val="nl-NL"/>
        </w:rPr>
      </w:pPr>
      <w:r>
        <w:rPr>
          <w:lang w:val="nl-NL"/>
        </w:rPr>
        <w:t>2.</w:t>
      </w:r>
      <w:r w:rsidRPr="00EC5A99">
        <w:rPr>
          <w:lang w:val="nl-NL"/>
        </w:rPr>
        <w:t xml:space="preserve"> Ngân sách huyện:</w:t>
      </w:r>
      <w:r>
        <w:rPr>
          <w:lang w:val="nl-NL"/>
        </w:rPr>
        <w:t xml:space="preserve"> </w:t>
      </w:r>
      <w:r w:rsidRPr="00EC5A99">
        <w:rPr>
          <w:lang w:val="nl-NL"/>
        </w:rPr>
        <w:t>3.617.344.227.055 đồng</w:t>
      </w:r>
    </w:p>
    <w:p w:rsidR="00180E02" w:rsidRPr="00EC5A99" w:rsidRDefault="00180E02" w:rsidP="00180E02">
      <w:pPr>
        <w:spacing w:before="120" w:after="120"/>
        <w:ind w:firstLine="720"/>
        <w:rPr>
          <w:lang w:val="nl-NL"/>
        </w:rPr>
      </w:pPr>
      <w:r>
        <w:rPr>
          <w:lang w:val="nl-NL"/>
        </w:rPr>
        <w:t>3.</w:t>
      </w:r>
      <w:r w:rsidRPr="00EC5A99">
        <w:rPr>
          <w:lang w:val="nl-NL"/>
        </w:rPr>
        <w:t xml:space="preserve"> Ngân sách xã:</w:t>
      </w:r>
      <w:r>
        <w:rPr>
          <w:lang w:val="nl-NL"/>
        </w:rPr>
        <w:t xml:space="preserve"> </w:t>
      </w:r>
      <w:r w:rsidRPr="00EC5A99">
        <w:rPr>
          <w:lang w:val="nl-NL"/>
        </w:rPr>
        <w:t>1.223.434.823.709 đồng</w:t>
      </w:r>
    </w:p>
    <w:p w:rsidR="00180E02" w:rsidRPr="005E421E" w:rsidRDefault="00180E02" w:rsidP="00180E02">
      <w:pPr>
        <w:pStyle w:val="BodyText"/>
        <w:spacing w:before="120" w:after="120"/>
        <w:ind w:firstLine="720"/>
        <w:rPr>
          <w:rFonts w:ascii="Times New Roman" w:hAnsi="Times New Roman"/>
          <w:b/>
          <w:szCs w:val="28"/>
          <w:lang w:val="nl-NL"/>
        </w:rPr>
      </w:pPr>
      <w:r w:rsidRPr="005E421E">
        <w:rPr>
          <w:rFonts w:ascii="Times New Roman" w:hAnsi="Times New Roman"/>
          <w:b/>
          <w:szCs w:val="28"/>
          <w:lang w:val="nl-NL"/>
        </w:rPr>
        <w:t xml:space="preserve">III. Kết dư </w:t>
      </w:r>
      <w:r>
        <w:rPr>
          <w:rFonts w:ascii="Times New Roman" w:hAnsi="Times New Roman"/>
          <w:b/>
          <w:szCs w:val="28"/>
          <w:lang w:val="nl-NL"/>
        </w:rPr>
        <w:t>ngân sách địa phương</w:t>
      </w:r>
      <w:r w:rsidRPr="005E421E">
        <w:rPr>
          <w:rFonts w:ascii="Times New Roman" w:hAnsi="Times New Roman"/>
          <w:b/>
          <w:szCs w:val="28"/>
          <w:lang w:val="nl-NL"/>
        </w:rPr>
        <w:t>: 262.138.440.226 đồng</w:t>
      </w:r>
    </w:p>
    <w:p w:rsidR="00180E02" w:rsidRPr="00EC5A99" w:rsidRDefault="00180E02" w:rsidP="00180E02">
      <w:pPr>
        <w:spacing w:before="120" w:after="120"/>
        <w:ind w:firstLine="720"/>
        <w:rPr>
          <w:lang w:val="nl-NL"/>
        </w:rPr>
      </w:pPr>
      <w:r>
        <w:rPr>
          <w:lang w:val="nl-NL"/>
        </w:rPr>
        <w:t>1.</w:t>
      </w:r>
      <w:r w:rsidRPr="00EC5A99">
        <w:rPr>
          <w:lang w:val="nl-NL"/>
        </w:rPr>
        <w:t xml:space="preserve"> Ngân sách tỉnh:</w:t>
      </w:r>
      <w:r>
        <w:rPr>
          <w:lang w:val="nl-NL"/>
        </w:rPr>
        <w:t xml:space="preserve"> </w:t>
      </w:r>
      <w:r w:rsidRPr="00EC5A99">
        <w:rPr>
          <w:lang w:val="nl-NL"/>
        </w:rPr>
        <w:t>57.029.091.554 đồng</w:t>
      </w:r>
    </w:p>
    <w:p w:rsidR="00180E02" w:rsidRPr="00EC5A99" w:rsidRDefault="00180E02" w:rsidP="00180E02">
      <w:pPr>
        <w:spacing w:before="120" w:after="120"/>
        <w:ind w:firstLine="720"/>
        <w:rPr>
          <w:lang w:val="nl-NL"/>
        </w:rPr>
      </w:pPr>
      <w:r>
        <w:rPr>
          <w:lang w:val="nl-NL"/>
        </w:rPr>
        <w:t>2.</w:t>
      </w:r>
      <w:r w:rsidRPr="00EC5A99">
        <w:rPr>
          <w:lang w:val="nl-NL"/>
        </w:rPr>
        <w:t xml:space="preserve"> Ngân sách huyện:</w:t>
      </w:r>
      <w:r>
        <w:rPr>
          <w:lang w:val="nl-NL"/>
        </w:rPr>
        <w:t xml:space="preserve"> </w:t>
      </w:r>
      <w:r w:rsidRPr="00EC5A99">
        <w:rPr>
          <w:lang w:val="nl-NL"/>
        </w:rPr>
        <w:t>135.699.747.817 đồng</w:t>
      </w:r>
    </w:p>
    <w:p w:rsidR="00180E02" w:rsidRPr="00EC5A99" w:rsidRDefault="00180E02" w:rsidP="00180E02">
      <w:pPr>
        <w:spacing w:before="120" w:after="120"/>
        <w:ind w:firstLine="720"/>
        <w:rPr>
          <w:lang w:val="nl-NL"/>
        </w:rPr>
      </w:pPr>
      <w:r>
        <w:rPr>
          <w:lang w:val="nl-NL"/>
        </w:rPr>
        <w:t>3.</w:t>
      </w:r>
      <w:r w:rsidRPr="00EC5A99">
        <w:rPr>
          <w:lang w:val="nl-NL"/>
        </w:rPr>
        <w:t xml:space="preserve"> Ngân sách xã:</w:t>
      </w:r>
      <w:r>
        <w:rPr>
          <w:lang w:val="nl-NL"/>
        </w:rPr>
        <w:t xml:space="preserve"> </w:t>
      </w:r>
      <w:r w:rsidRPr="00EC5A99">
        <w:rPr>
          <w:lang w:val="nl-NL"/>
        </w:rPr>
        <w:t>69.409.600.855 đồng</w:t>
      </w:r>
    </w:p>
    <w:p w:rsidR="00180E02" w:rsidRPr="005E421E" w:rsidRDefault="00180E02" w:rsidP="00180E02">
      <w:pPr>
        <w:pStyle w:val="BodyText"/>
        <w:spacing w:before="120" w:after="120"/>
        <w:ind w:firstLine="720"/>
        <w:rPr>
          <w:rFonts w:ascii="Times New Roman" w:hAnsi="Times New Roman"/>
          <w:szCs w:val="28"/>
          <w:lang w:val="nl-NL"/>
        </w:rPr>
      </w:pPr>
      <w:r>
        <w:rPr>
          <w:rFonts w:ascii="Times New Roman" w:hAnsi="Times New Roman"/>
          <w:szCs w:val="28"/>
          <w:lang w:val="nl-NL"/>
        </w:rPr>
        <w:t xml:space="preserve">- </w:t>
      </w:r>
      <w:r w:rsidRPr="005E421E">
        <w:rPr>
          <w:rFonts w:ascii="Times New Roman" w:hAnsi="Times New Roman"/>
          <w:szCs w:val="28"/>
          <w:lang w:val="nl-NL"/>
        </w:rPr>
        <w:t xml:space="preserve">Đối với kết dư ngân sách cấp tỉnh: </w:t>
      </w:r>
      <w:r w:rsidRPr="005E421E">
        <w:rPr>
          <w:rFonts w:ascii="Times New Roman" w:hAnsi="Times New Roman"/>
          <w:b/>
          <w:szCs w:val="28"/>
          <w:lang w:val="nl-NL"/>
        </w:rPr>
        <w:t xml:space="preserve">57.029.091.554 đồng, </w:t>
      </w:r>
      <w:r w:rsidRPr="005E421E">
        <w:rPr>
          <w:rFonts w:ascii="Times New Roman" w:hAnsi="Times New Roman"/>
          <w:szCs w:val="28"/>
          <w:lang w:val="nl-NL"/>
        </w:rPr>
        <w:t>được xử lý như sau:</w:t>
      </w:r>
    </w:p>
    <w:p w:rsidR="00180E02" w:rsidRPr="005E421E" w:rsidRDefault="00180E02" w:rsidP="00180E02">
      <w:pPr>
        <w:pStyle w:val="BodyText"/>
        <w:spacing w:before="120" w:after="120"/>
        <w:ind w:firstLine="720"/>
        <w:rPr>
          <w:rFonts w:ascii="Times New Roman" w:hAnsi="Times New Roman"/>
          <w:szCs w:val="28"/>
          <w:lang w:val="nl-NL"/>
        </w:rPr>
      </w:pPr>
      <w:r w:rsidRPr="005E421E">
        <w:rPr>
          <w:rFonts w:ascii="Times New Roman" w:hAnsi="Times New Roman"/>
          <w:szCs w:val="28"/>
          <w:lang w:val="nl-NL"/>
        </w:rPr>
        <w:lastRenderedPageBreak/>
        <w:t>+ Nguồn chuyển vào thu NS năm sau: 31.215.091.554 đồng (nguồn tăng thu ngân sách cấp tỉnh chưa chuyển nguồn năm trong chênh lệch thu chi ngân sách: 5,4 tỷ đồng).</w:t>
      </w:r>
    </w:p>
    <w:p w:rsidR="00180E02" w:rsidRPr="005E421E" w:rsidRDefault="00180E02" w:rsidP="00180E02">
      <w:pPr>
        <w:pStyle w:val="BodyText"/>
        <w:spacing w:before="120" w:after="120"/>
        <w:ind w:firstLine="720"/>
        <w:rPr>
          <w:rFonts w:ascii="Times New Roman" w:hAnsi="Times New Roman"/>
          <w:szCs w:val="28"/>
          <w:lang w:val="nl-NL"/>
        </w:rPr>
      </w:pPr>
      <w:r w:rsidRPr="005E421E">
        <w:rPr>
          <w:rFonts w:ascii="Times New Roman" w:hAnsi="Times New Roman"/>
          <w:szCs w:val="28"/>
          <w:lang w:val="nl-NL"/>
        </w:rPr>
        <w:t>+ Trích 50% bổ sung quỹ dự trữ tài chính: 25.814.000.000 đồng</w:t>
      </w:r>
      <w:r>
        <w:rPr>
          <w:rFonts w:ascii="Times New Roman" w:hAnsi="Times New Roman"/>
          <w:szCs w:val="28"/>
          <w:lang w:val="nl-NL"/>
        </w:rPr>
        <w:t>.</w:t>
      </w:r>
    </w:p>
    <w:p w:rsidR="00180E02" w:rsidRPr="005E421E" w:rsidRDefault="00180E02" w:rsidP="00180E02">
      <w:pPr>
        <w:spacing w:before="120" w:after="120"/>
        <w:ind w:firstLine="720"/>
        <w:jc w:val="both"/>
        <w:rPr>
          <w:lang w:val="nl-NL"/>
        </w:rPr>
      </w:pPr>
      <w:r>
        <w:rPr>
          <w:lang w:val="nl-NL"/>
        </w:rPr>
        <w:t>-</w:t>
      </w:r>
      <w:r w:rsidRPr="005E421E">
        <w:rPr>
          <w:lang w:val="nl-NL"/>
        </w:rPr>
        <w:t xml:space="preserve"> Đối với kết dư ngân sách huyện và ngân sách xã được đưa toàn bộ vào thu ngân sách năm sau theo quy định, trong đó huyện, xã có số tăng thu phải dành 50% để thực hiện cải cách tiền lương theo quy định.</w:t>
      </w:r>
    </w:p>
    <w:p w:rsidR="00180E02" w:rsidRDefault="00180E02" w:rsidP="00180E02">
      <w:pPr>
        <w:spacing w:before="120" w:after="120"/>
        <w:ind w:firstLine="720"/>
        <w:jc w:val="both"/>
        <w:rPr>
          <w:b/>
          <w:lang w:val="nl-NL"/>
        </w:rPr>
      </w:pPr>
      <w:r w:rsidRPr="000E1C21">
        <w:rPr>
          <w:b/>
          <w:lang w:val="nl-NL"/>
        </w:rPr>
        <w:t xml:space="preserve">Điều </w:t>
      </w:r>
      <w:r>
        <w:rPr>
          <w:b/>
          <w:lang w:val="nl-NL"/>
        </w:rPr>
        <w:t>2</w:t>
      </w:r>
      <w:r w:rsidRPr="000E1C21">
        <w:rPr>
          <w:b/>
          <w:lang w:val="nl-NL"/>
        </w:rPr>
        <w:t>:</w:t>
      </w:r>
      <w:r>
        <w:rPr>
          <w:b/>
          <w:lang w:val="nl-NL"/>
        </w:rPr>
        <w:t xml:space="preserve"> </w:t>
      </w:r>
      <w:r w:rsidRPr="008E4DAB">
        <w:rPr>
          <w:lang w:val="nl-NL"/>
        </w:rPr>
        <w:t>Tổ chức thực hiện</w:t>
      </w:r>
    </w:p>
    <w:p w:rsidR="00180E02" w:rsidRDefault="00180E02" w:rsidP="00180E02">
      <w:pPr>
        <w:spacing w:before="120" w:after="120"/>
        <w:ind w:firstLine="720"/>
        <w:jc w:val="both"/>
        <w:rPr>
          <w:lang w:val="nl-NL"/>
        </w:rPr>
      </w:pPr>
      <w:r>
        <w:rPr>
          <w:lang w:val="nl-NL"/>
        </w:rPr>
        <w:t>1. Thường trực Hội đồng nhân dân tỉnh, các Ban của Hội đồng nhân dân tỉnh và các đại biểu Hội đồng nhân dân tỉnh căn cứ chức năng, nhiệm vụ, quyền hạn theo quy định của pháp luật, đôn đốc, kiểm tra, giám sát việc thực hiện Nghị quyết này.</w:t>
      </w:r>
    </w:p>
    <w:p w:rsidR="00180E02" w:rsidRDefault="00180E02" w:rsidP="00180E02">
      <w:pPr>
        <w:spacing w:before="120" w:after="120"/>
        <w:ind w:firstLine="720"/>
        <w:jc w:val="both"/>
        <w:rPr>
          <w:lang w:val="nl-NL"/>
        </w:rPr>
      </w:pPr>
      <w:r>
        <w:rPr>
          <w:lang w:val="nl-NL"/>
        </w:rPr>
        <w:t>2. Hội đồng nhân dân tỉnh giao Ủy ban nhân dân tỉnh tổ chức thực hiện Nghị quyết này.</w:t>
      </w:r>
    </w:p>
    <w:p w:rsidR="00180E02" w:rsidRDefault="00180E02" w:rsidP="00180E02">
      <w:pPr>
        <w:spacing w:before="120" w:after="120"/>
        <w:ind w:firstLine="720"/>
        <w:jc w:val="both"/>
        <w:rPr>
          <w:lang w:val="nl-NL"/>
        </w:rPr>
      </w:pPr>
      <w:r>
        <w:rPr>
          <w:lang w:val="nl-NL"/>
        </w:rPr>
        <w:t>Nghị quyết này được Hội đồng nhân dân tỉnh Hưng Yên khóa XVI, kỳ họp thứ Ba thông qua ngày 15 tháng 12 năm 2016./.</w:t>
      </w:r>
    </w:p>
    <w:p w:rsidR="00180E02" w:rsidRPr="005E421E" w:rsidRDefault="00180E02" w:rsidP="00180E02">
      <w:pPr>
        <w:spacing w:before="120" w:after="120"/>
        <w:ind w:firstLine="720"/>
        <w:jc w:val="both"/>
        <w:rPr>
          <w:lang w:val="nl-NL"/>
        </w:rPr>
      </w:pPr>
    </w:p>
    <w:tbl>
      <w:tblPr>
        <w:tblW w:w="0" w:type="auto"/>
        <w:tblLook w:val="01E0" w:firstRow="1" w:lastRow="1" w:firstColumn="1" w:lastColumn="1" w:noHBand="0" w:noVBand="0"/>
      </w:tblPr>
      <w:tblGrid>
        <w:gridCol w:w="4855"/>
        <w:gridCol w:w="4433"/>
      </w:tblGrid>
      <w:tr w:rsidR="00180E02" w:rsidRPr="00E07718" w:rsidTr="00D85272">
        <w:tc>
          <w:tcPr>
            <w:tcW w:w="4855" w:type="dxa"/>
          </w:tcPr>
          <w:p w:rsidR="00180E02" w:rsidRPr="00E07718" w:rsidRDefault="00180E02" w:rsidP="00D85272">
            <w:pPr>
              <w:jc w:val="both"/>
              <w:rPr>
                <w:sz w:val="22"/>
                <w:szCs w:val="22"/>
              </w:rPr>
            </w:pPr>
          </w:p>
        </w:tc>
        <w:tc>
          <w:tcPr>
            <w:tcW w:w="4433" w:type="dxa"/>
          </w:tcPr>
          <w:p w:rsidR="00180E02" w:rsidRPr="00E07718" w:rsidRDefault="00180E02" w:rsidP="00D85272">
            <w:pPr>
              <w:spacing w:line="400" w:lineRule="atLeast"/>
              <w:jc w:val="center"/>
              <w:rPr>
                <w:b/>
              </w:rPr>
            </w:pPr>
            <w:r w:rsidRPr="00E07718">
              <w:rPr>
                <w:b/>
              </w:rPr>
              <w:t>CHỦ TỊCH</w:t>
            </w:r>
          </w:p>
          <w:p w:rsidR="00180E02" w:rsidRPr="00E07718" w:rsidRDefault="00180E02" w:rsidP="00D85272">
            <w:pPr>
              <w:spacing w:line="400" w:lineRule="atLeast"/>
              <w:jc w:val="center"/>
            </w:pPr>
          </w:p>
          <w:p w:rsidR="00180E02" w:rsidRDefault="00180E02" w:rsidP="00D85272">
            <w:pPr>
              <w:spacing w:line="400" w:lineRule="atLeast"/>
              <w:jc w:val="center"/>
            </w:pPr>
          </w:p>
          <w:p w:rsidR="00180E02" w:rsidRPr="00E07718" w:rsidRDefault="00180E02" w:rsidP="00D85272">
            <w:pPr>
              <w:spacing w:line="400" w:lineRule="atLeast"/>
              <w:jc w:val="center"/>
            </w:pPr>
          </w:p>
          <w:p w:rsidR="00180E02" w:rsidRPr="00E07718" w:rsidRDefault="00180E02" w:rsidP="00D85272">
            <w:pPr>
              <w:spacing w:line="400" w:lineRule="atLeast"/>
              <w:jc w:val="center"/>
            </w:pPr>
          </w:p>
          <w:p w:rsidR="00180E02" w:rsidRDefault="00180E02" w:rsidP="00D85272">
            <w:pPr>
              <w:spacing w:line="400" w:lineRule="atLeast"/>
              <w:jc w:val="center"/>
              <w:rPr>
                <w:b/>
              </w:rPr>
            </w:pPr>
          </w:p>
          <w:p w:rsidR="00180E02" w:rsidRPr="00E07718" w:rsidRDefault="00180E02" w:rsidP="00D85272">
            <w:pPr>
              <w:spacing w:line="400" w:lineRule="atLeast"/>
              <w:jc w:val="center"/>
              <w:rPr>
                <w:b/>
              </w:rPr>
            </w:pPr>
            <w:r>
              <w:rPr>
                <w:b/>
              </w:rPr>
              <w:t>Đỗ Xuân Tuyên</w:t>
            </w:r>
          </w:p>
        </w:tc>
      </w:tr>
    </w:tbl>
    <w:p w:rsidR="00180E02" w:rsidRPr="00752AEF" w:rsidRDefault="00180E02" w:rsidP="00180E02">
      <w:pPr>
        <w:spacing w:line="420" w:lineRule="atLeast"/>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180E02" w:rsidRDefault="00180E02" w:rsidP="00180E02">
      <w:pPr>
        <w:pStyle w:val="ListParagraph"/>
        <w:tabs>
          <w:tab w:val="left" w:pos="1134"/>
        </w:tabs>
        <w:spacing w:before="120" w:after="120"/>
        <w:ind w:left="0"/>
        <w:jc w:val="center"/>
        <w:rPr>
          <w:b/>
          <w:color w:val="000000"/>
          <w:sz w:val="32"/>
          <w:szCs w:val="32"/>
        </w:rPr>
      </w:pPr>
    </w:p>
    <w:p w:rsidR="00FC251E" w:rsidRDefault="00FC251E"/>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66" w:rsidRDefault="00FB0E66" w:rsidP="00180E02">
      <w:r>
        <w:separator/>
      </w:r>
    </w:p>
  </w:endnote>
  <w:endnote w:type="continuationSeparator" w:id="0">
    <w:p w:rsidR="00FB0E66" w:rsidRDefault="00FB0E66" w:rsidP="001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5779"/>
      <w:docPartObj>
        <w:docPartGallery w:val="Page Numbers (Bottom of Page)"/>
        <w:docPartUnique/>
      </w:docPartObj>
    </w:sdtPr>
    <w:sdtEndPr>
      <w:rPr>
        <w:noProof/>
      </w:rPr>
    </w:sdtEndPr>
    <w:sdtContent>
      <w:p w:rsidR="00180E02" w:rsidRDefault="00180E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80E02" w:rsidRDefault="0018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66" w:rsidRDefault="00FB0E66" w:rsidP="00180E02">
      <w:r>
        <w:separator/>
      </w:r>
    </w:p>
  </w:footnote>
  <w:footnote w:type="continuationSeparator" w:id="0">
    <w:p w:rsidR="00FB0E66" w:rsidRDefault="00FB0E66" w:rsidP="00180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02"/>
    <w:rsid w:val="0006341B"/>
    <w:rsid w:val="00180E02"/>
    <w:rsid w:val="00EC14D2"/>
    <w:rsid w:val="00FB0E66"/>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E0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180E02"/>
    <w:pPr>
      <w:widowControl w:val="0"/>
      <w:spacing w:line="312" w:lineRule="auto"/>
      <w:jc w:val="both"/>
    </w:pPr>
    <w:rPr>
      <w:rFonts w:ascii=".VnTime" w:hAnsi=".VnTime"/>
      <w:szCs w:val="20"/>
    </w:rPr>
  </w:style>
  <w:style w:type="character" w:customStyle="1" w:styleId="BodyTextChar">
    <w:name w:val="Body Text Char"/>
    <w:basedOn w:val="DefaultParagraphFont"/>
    <w:rsid w:val="00180E02"/>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180E02"/>
    <w:rPr>
      <w:rFonts w:ascii=".VnTime" w:hAnsi=".VnTime"/>
      <w:sz w:val="28"/>
    </w:rPr>
  </w:style>
  <w:style w:type="paragraph" w:styleId="ListParagraph">
    <w:name w:val="List Paragraph"/>
    <w:basedOn w:val="Normal"/>
    <w:qFormat/>
    <w:rsid w:val="00180E02"/>
    <w:pPr>
      <w:ind w:left="720"/>
      <w:contextualSpacing/>
    </w:pPr>
    <w:rPr>
      <w:rFonts w:eastAsia="Calibri"/>
    </w:rPr>
  </w:style>
  <w:style w:type="paragraph" w:customStyle="1" w:styleId="CharChar10">
    <w:name w:val=" Char Char10"/>
    <w:basedOn w:val="Normal"/>
    <w:semiHidden/>
    <w:rsid w:val="00180E02"/>
    <w:pPr>
      <w:spacing w:after="160" w:line="240" w:lineRule="exact"/>
    </w:pPr>
    <w:rPr>
      <w:rFonts w:ascii="Arial" w:hAnsi="Arial"/>
      <w:sz w:val="22"/>
      <w:szCs w:val="22"/>
    </w:rPr>
  </w:style>
  <w:style w:type="paragraph" w:styleId="Header">
    <w:name w:val="header"/>
    <w:basedOn w:val="Normal"/>
    <w:link w:val="HeaderChar"/>
    <w:rsid w:val="00180E02"/>
    <w:pPr>
      <w:tabs>
        <w:tab w:val="center" w:pos="4680"/>
        <w:tab w:val="right" w:pos="9360"/>
      </w:tabs>
    </w:pPr>
  </w:style>
  <w:style w:type="character" w:customStyle="1" w:styleId="HeaderChar">
    <w:name w:val="Header Char"/>
    <w:basedOn w:val="DefaultParagraphFont"/>
    <w:link w:val="Header"/>
    <w:rsid w:val="00180E02"/>
    <w:rPr>
      <w:sz w:val="28"/>
      <w:szCs w:val="28"/>
    </w:rPr>
  </w:style>
  <w:style w:type="paragraph" w:styleId="Footer">
    <w:name w:val="footer"/>
    <w:basedOn w:val="Normal"/>
    <w:link w:val="FooterChar"/>
    <w:uiPriority w:val="99"/>
    <w:rsid w:val="00180E02"/>
    <w:pPr>
      <w:tabs>
        <w:tab w:val="center" w:pos="4680"/>
        <w:tab w:val="right" w:pos="9360"/>
      </w:tabs>
    </w:pPr>
  </w:style>
  <w:style w:type="character" w:customStyle="1" w:styleId="FooterChar">
    <w:name w:val="Footer Char"/>
    <w:basedOn w:val="DefaultParagraphFont"/>
    <w:link w:val="Footer"/>
    <w:uiPriority w:val="99"/>
    <w:rsid w:val="00180E0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E0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180E02"/>
    <w:pPr>
      <w:widowControl w:val="0"/>
      <w:spacing w:line="312" w:lineRule="auto"/>
      <w:jc w:val="both"/>
    </w:pPr>
    <w:rPr>
      <w:rFonts w:ascii=".VnTime" w:hAnsi=".VnTime"/>
      <w:szCs w:val="20"/>
    </w:rPr>
  </w:style>
  <w:style w:type="character" w:customStyle="1" w:styleId="BodyTextChar">
    <w:name w:val="Body Text Char"/>
    <w:basedOn w:val="DefaultParagraphFont"/>
    <w:rsid w:val="00180E02"/>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180E02"/>
    <w:rPr>
      <w:rFonts w:ascii=".VnTime" w:hAnsi=".VnTime"/>
      <w:sz w:val="28"/>
    </w:rPr>
  </w:style>
  <w:style w:type="paragraph" w:styleId="ListParagraph">
    <w:name w:val="List Paragraph"/>
    <w:basedOn w:val="Normal"/>
    <w:qFormat/>
    <w:rsid w:val="00180E02"/>
    <w:pPr>
      <w:ind w:left="720"/>
      <w:contextualSpacing/>
    </w:pPr>
    <w:rPr>
      <w:rFonts w:eastAsia="Calibri"/>
    </w:rPr>
  </w:style>
  <w:style w:type="paragraph" w:customStyle="1" w:styleId="CharChar10">
    <w:name w:val=" Char Char10"/>
    <w:basedOn w:val="Normal"/>
    <w:semiHidden/>
    <w:rsid w:val="00180E02"/>
    <w:pPr>
      <w:spacing w:after="160" w:line="240" w:lineRule="exact"/>
    </w:pPr>
    <w:rPr>
      <w:rFonts w:ascii="Arial" w:hAnsi="Arial"/>
      <w:sz w:val="22"/>
      <w:szCs w:val="22"/>
    </w:rPr>
  </w:style>
  <w:style w:type="paragraph" w:styleId="Header">
    <w:name w:val="header"/>
    <w:basedOn w:val="Normal"/>
    <w:link w:val="HeaderChar"/>
    <w:rsid w:val="00180E02"/>
    <w:pPr>
      <w:tabs>
        <w:tab w:val="center" w:pos="4680"/>
        <w:tab w:val="right" w:pos="9360"/>
      </w:tabs>
    </w:pPr>
  </w:style>
  <w:style w:type="character" w:customStyle="1" w:styleId="HeaderChar">
    <w:name w:val="Header Char"/>
    <w:basedOn w:val="DefaultParagraphFont"/>
    <w:link w:val="Header"/>
    <w:rsid w:val="00180E02"/>
    <w:rPr>
      <w:sz w:val="28"/>
      <w:szCs w:val="28"/>
    </w:rPr>
  </w:style>
  <w:style w:type="paragraph" w:styleId="Footer">
    <w:name w:val="footer"/>
    <w:basedOn w:val="Normal"/>
    <w:link w:val="FooterChar"/>
    <w:uiPriority w:val="99"/>
    <w:rsid w:val="00180E02"/>
    <w:pPr>
      <w:tabs>
        <w:tab w:val="center" w:pos="4680"/>
        <w:tab w:val="right" w:pos="9360"/>
      </w:tabs>
    </w:pPr>
  </w:style>
  <w:style w:type="character" w:customStyle="1" w:styleId="FooterChar">
    <w:name w:val="Footer Char"/>
    <w:basedOn w:val="DefaultParagraphFont"/>
    <w:link w:val="Footer"/>
    <w:uiPriority w:val="99"/>
    <w:rsid w:val="00180E0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54303-0CD1-42DE-B515-D07B0955B2DB}"/>
</file>

<file path=customXml/itemProps2.xml><?xml version="1.0" encoding="utf-8"?>
<ds:datastoreItem xmlns:ds="http://schemas.openxmlformats.org/officeDocument/2006/customXml" ds:itemID="{891118AB-FC7A-4E85-8915-A58FF9E4F2F2}"/>
</file>

<file path=customXml/itemProps3.xml><?xml version="1.0" encoding="utf-8"?>
<ds:datastoreItem xmlns:ds="http://schemas.openxmlformats.org/officeDocument/2006/customXml" ds:itemID="{1EFC16A2-25BB-4F17-8380-45046D547802}"/>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2017-01-05T04:15:00Z</dcterms:created>
  <dcterms:modified xsi:type="dcterms:W3CDTF">2017-01-05T04:17:00Z</dcterms:modified>
</cp:coreProperties>
</file>